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5" w:rsidRDefault="000644C0" w:rsidP="00036EC3">
      <w:pPr>
        <w:jc w:val="center"/>
        <w:rPr>
          <w:rFonts w:ascii="Courier New" w:hAnsi="Courier New" w:cs="FrankRuehl"/>
          <w:color w:val="244061"/>
          <w:lang w:val="fr-CA"/>
        </w:rPr>
      </w:pPr>
      <w:r w:rsidRPr="000644C0">
        <w:rPr>
          <w:rFonts w:ascii="Courier New" w:hAnsi="Courier New" w:cs="FrankRuehl"/>
          <w:noProof/>
          <w:color w:val="244061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125730</wp:posOffset>
            </wp:positionV>
            <wp:extent cx="3086100" cy="752475"/>
            <wp:effectExtent l="19050" t="0" r="0" b="0"/>
            <wp:wrapNone/>
            <wp:docPr id="6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val="fr-CA"/>
        </w:rPr>
      </w:pPr>
    </w:p>
    <w:p w:rsid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18"/>
          <w:szCs w:val="18"/>
          <w:lang w:val="fr-CA"/>
        </w:rPr>
      </w:pPr>
    </w:p>
    <w:p w:rsidR="00B331EC" w:rsidRP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fr-CA"/>
        </w:rPr>
      </w:pPr>
    </w:p>
    <w:p w:rsidR="000644C0" w:rsidRDefault="000644C0" w:rsidP="006B1A7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30"/>
          <w:szCs w:val="30"/>
          <w:lang w:val="fr-FR"/>
        </w:rPr>
      </w:pPr>
    </w:p>
    <w:p w:rsidR="00B331EC" w:rsidRP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fr-CA"/>
        </w:rPr>
      </w:pPr>
      <w:r w:rsidRPr="00B331EC">
        <w:rPr>
          <w:rStyle w:val="Strong"/>
          <w:rFonts w:ascii="Times New Roman" w:hAnsi="Times New Roman"/>
          <w:sz w:val="30"/>
          <w:szCs w:val="30"/>
          <w:lang w:val="fr-FR"/>
        </w:rPr>
        <w:t xml:space="preserve">Vente </w:t>
      </w:r>
      <w:r w:rsidR="00541D2B">
        <w:rPr>
          <w:rStyle w:val="Strong"/>
          <w:rFonts w:ascii="Times New Roman" w:hAnsi="Times New Roman"/>
          <w:sz w:val="30"/>
          <w:szCs w:val="30"/>
          <w:lang w:val="fr-FR"/>
        </w:rPr>
        <w:t>d’entreprise avec immeuble</w:t>
      </w:r>
    </w:p>
    <w:p w:rsidR="00B331EC" w:rsidRPr="00B331EC" w:rsidRDefault="00B331EC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fr-CA"/>
        </w:rPr>
      </w:pPr>
    </w:p>
    <w:p w:rsidR="00CF4E0F" w:rsidRPr="00B331EC" w:rsidRDefault="00E208E0" w:rsidP="006B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B331EC">
        <w:rPr>
          <w:rFonts w:ascii="Times New Roman" w:eastAsia="Times New Roman" w:hAnsi="Times New Roman"/>
          <w:color w:val="000000"/>
          <w:sz w:val="24"/>
          <w:szCs w:val="24"/>
          <w:lang w:val="fr-CA"/>
        </w:rPr>
        <w:br/>
      </w:r>
      <w:r w:rsidR="00B331EC" w:rsidRPr="00B331EC">
        <w:rPr>
          <w:rFonts w:ascii="Times New Roman" w:hAnsi="Times New Roman"/>
          <w:color w:val="000000"/>
          <w:sz w:val="24"/>
          <w:szCs w:val="24"/>
          <w:lang w:val="fr-CA"/>
        </w:rPr>
        <w:t xml:space="preserve">ANNEXE </w:t>
      </w:r>
      <w:r w:rsidR="00B541E1">
        <w:rPr>
          <w:rFonts w:ascii="Times New Roman" w:hAnsi="Times New Roman"/>
          <w:color w:val="000000"/>
          <w:sz w:val="24"/>
          <w:szCs w:val="24"/>
          <w:lang w:val="fr-CA"/>
        </w:rPr>
        <w:t>A LA PROMESSE D’ACHAT</w:t>
      </w:r>
      <w:r w:rsidR="00B331EC" w:rsidRPr="00B331EC">
        <w:rPr>
          <w:rFonts w:ascii="Times New Roman" w:hAnsi="Times New Roman"/>
          <w:color w:val="000000"/>
          <w:sz w:val="24"/>
          <w:szCs w:val="24"/>
          <w:lang w:val="fr-CA"/>
        </w:rPr>
        <w:t xml:space="preserve"> N*_____________________</w:t>
      </w:r>
    </w:p>
    <w:p w:rsidR="00E208E0" w:rsidRPr="00B331EC" w:rsidRDefault="00E208E0" w:rsidP="00E336B9">
      <w:pPr>
        <w:rPr>
          <w:rFonts w:ascii="Times New Roman" w:hAnsi="Times New Roman"/>
          <w:color w:val="000000" w:themeColor="text1"/>
          <w:sz w:val="24"/>
          <w:szCs w:val="24"/>
          <w:lang w:val="fr-CA"/>
        </w:rPr>
      </w:pPr>
    </w:p>
    <w:p w:rsidR="00B331EC" w:rsidRPr="00B331EC" w:rsidRDefault="00B331EC" w:rsidP="00E336B9">
      <w:pPr>
        <w:rPr>
          <w:rFonts w:ascii="Times New Roman" w:hAnsi="Times New Roman"/>
          <w:color w:val="000000" w:themeColor="text1"/>
          <w:sz w:val="24"/>
          <w:szCs w:val="24"/>
          <w:lang w:val="fr-CA"/>
        </w:rPr>
      </w:pP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bookmarkStart w:id="0" w:name="7_2"/>
      <w:bookmarkStart w:id="1" w:name="7_3"/>
      <w:bookmarkStart w:id="2" w:name="7_4"/>
      <w:bookmarkEnd w:id="0"/>
      <w:bookmarkEnd w:id="1"/>
      <w:bookmarkEnd w:id="2"/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E1. ACHAT D’UNE ENTREPRISE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E1.1 L’IMMEUBLE est un bien de l’ENTREPRISE décrite ci-après qui fait également l’objet de la promesse d’achat.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E1.2 Le prix mentionné à la clause 4.1 de la promesse d’achat inclut l’ensemble des biens de l’ENTREPRISE mentionnés ci-après.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Ce prix est établie sous réserve de la valeur définitive des stocks établie conformément à ce qui est prévu en E3.1 ci-après.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E1.3 Sauf indication contraire ou incompatibilité, les dispositions de la présente promesse d’achat s’appliquent à l’achat de l’ENTREPRISE et le terme « IMMEUBLE » doit être interprété comme visant l’IMMEUBLE et l’ENTREPRISE.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E1.4 Le montant mentionné à la clause 5.2 de la promesse d’achat comprend, en plus du nouvel emprunt hypothécaire mentionné à la clause 6 de la promesse d’achat, le montant de tout autre emprunt mentionné en E4.1 ci-après ;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E1.5 La somme indiquée à la clause 5.4 de la promesse d’achat comprend, en plus du solde de prix de vente garanti par hypothèque immobilière mentionné à la clause 8 de la promesse d’achat, tout solde de prix de vente additionnel mentionné en E5.1 ci-après.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E2. DESCRIPTION SOMMAIRE DE L’ENTREPRISE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E2.1 L’entreprise est connue et exploitée sous le nom de : ____________________</w:t>
      </w:r>
      <w:r>
        <w:rPr>
          <w:rFonts w:ascii="Times New Roman" w:hAnsi="Times New Roman"/>
          <w:sz w:val="24"/>
          <w:szCs w:val="24"/>
          <w:lang w:val="fr-FR"/>
        </w:rPr>
        <w:t>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____________________________________________________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et est située à l’adresse suivante :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____________________</w:t>
      </w:r>
      <w:r>
        <w:rPr>
          <w:rFonts w:ascii="Times New Roman" w:hAnsi="Times New Roman"/>
          <w:sz w:val="24"/>
          <w:szCs w:val="24"/>
          <w:lang w:val="fr-FR"/>
        </w:rPr>
        <w:t>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____________________________________________________.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(ci-après appelée l’ENTREPRISE)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lastRenderedPageBreak/>
        <w:t>E2.2 Dans le cas d’une entreprise exploitée dans un immeuble comportant bail, le loyer mensuel est de : ________________________________________________________________________ et le bail vient à échéance le ________________________________________________________________________. Aucun avis susceptible de modifier le bail n’a été envoyé par l’une ou l’autre des parties et aucune instance n’est en cours.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E2.3</w:t>
      </w:r>
      <w:r w:rsidRPr="00B541E1"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>
            <wp:extent cx="228600" cy="104775"/>
            <wp:effectExtent l="19050" t="0" r="0" b="0"/>
            <wp:docPr id="7" name="Image 4" descr="https://secure.oaciq.com/sites/default/files/article/images/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s://secure.oaciq.com/sites/default/files/article/images/cas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1E1">
        <w:rPr>
          <w:rFonts w:ascii="Times New Roman" w:hAnsi="Times New Roman"/>
          <w:sz w:val="24"/>
          <w:szCs w:val="24"/>
          <w:lang w:val="fr-FR"/>
        </w:rPr>
        <w:t>Le bail a été publié au registre foncier.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E3. DÉTAIL DU PRIX DE VENTE ET CONDITIONS DE VENTE ADDITIONNELLES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E3.1 Le prix d’achat mentionné à la clause ____ de la promesse d’achat est réparti comme suit :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1° l’IMMEUBLE décrit à la clause ____ de la promesse d’achat évalué à ___</w:t>
      </w:r>
      <w:r>
        <w:rPr>
          <w:rFonts w:ascii="Times New Roman" w:hAnsi="Times New Roman"/>
          <w:sz w:val="24"/>
          <w:szCs w:val="24"/>
          <w:lang w:val="fr-FR"/>
        </w:rPr>
        <w:t>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______________ $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2° le nom et l’achalandage évalués à : __________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 $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3° tous les biens meubles, appareils et équipements servant à l’exploitation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de l’ENTREPRISE, lesquels sont évalués à : _____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 $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4° tous les stocks de marchandise, dont la valeur est calculée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à __________________ % du coût payé pour chaque marchandise, le tout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étant évalués approximativement à : ____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_____________ $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La valeur définitive sera établie lors de l’inventaire pris conjointement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par les parties préalablement à la signature de l’acte de vente.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E3.2 Sont inclus dans la vente, le cas échéant :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1° le nom; 2° l’achalandage; 3° tous les droits et privilèges reliés à l’identification de l’ENTREPRISE (numéros de téléphone, enseignes, publicités, marques de commerce, etc.); 4° l’immeuble; 5° tous les biens meubles, appareils et équipements servant à l’exploitation de l’ENTREPRISE.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E3.3 Sont exclus de la vente, le cas échéant :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1° les comptes clients; 2° les comptes fournisseurs; 3° les comptes bancaires; 4° les biens meubles et stocks de marchandise en consignation (voir liste annexée).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E3.4 Date ou délai de prise en charge de l’exploitation : ____________________________________________</w:t>
      </w:r>
    </w:p>
    <w:p w:rsid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E4. NOUVEL EMPRUNT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E4.1 En sus de ce qui est prévu à la clause 6 de la promesse d’achat concernant l’obtention d’un emprunt garanti par hypothèque sur l’IMMEUBLE, L’ACHETEUR s’engage à entreprendre de bonne foi, dans les plus brefs délais et à ses frais, toutes les démarches nécessaires pour obtenir un emprunt additionnel de ____________</w:t>
      </w:r>
      <w:r>
        <w:rPr>
          <w:rFonts w:ascii="Times New Roman" w:hAnsi="Times New Roman"/>
          <w:sz w:val="24"/>
          <w:szCs w:val="24"/>
          <w:lang w:val="fr-FR"/>
        </w:rPr>
        <w:t>_____________________________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_________$ à des conditions qui lui sont satisfaisantes.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E4.2 L’ACHETEUR s’engage à aviser par écrit le VENDEUR avant le ______</w:t>
      </w:r>
      <w:r>
        <w:rPr>
          <w:rFonts w:ascii="Times New Roman" w:hAnsi="Times New Roman"/>
          <w:sz w:val="24"/>
          <w:szCs w:val="24"/>
          <w:lang w:val="fr-FR"/>
        </w:rPr>
        <w:t>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_____________ que la présente condition est satisfaite ou qu’il renonce au bénéfice de cette condition. À défaut, la présente promesse d’achat deviendra nulle et non avenue.</w:t>
      </w:r>
    </w:p>
    <w:p w:rsid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lastRenderedPageBreak/>
        <w:t>E5. SOLDE DU PRIX DE VENTE ADDITIONNEL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E5.1 En sus de ce qui est prévu à la clause 8 de la promesse d’achat concernant le solde de prix de vente garanti par hypothèque sur l’IMMEUBLE, L’ACHETEUR remboursera au VENDEUR un solde du prix de vente additionnel de _________________ $, lequel sera garanti par : _____________________________________; ce solde du prix de vente, portant intérêt au taux de ______ % l’an, sera payable comme suit : _________________________________________________________________________________________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br/>
      </w:r>
      <w:r w:rsidRPr="00B541E1">
        <w:rPr>
          <w:rFonts w:ascii="Times New Roman" w:hAnsi="Times New Roman"/>
          <w:sz w:val="24"/>
          <w:szCs w:val="24"/>
          <w:lang w:val="fr-FR"/>
        </w:rPr>
        <w:br/>
        <w:t>L’ACHETEUR aura, en tout temps, le droit de rembourser par anticipation soit la totalité, soit une partie du solde pour autant que ce soit par versement de __</w:t>
      </w:r>
      <w:r>
        <w:rPr>
          <w:rFonts w:ascii="Times New Roman" w:hAnsi="Times New Roman"/>
          <w:sz w:val="24"/>
          <w:szCs w:val="24"/>
          <w:lang w:val="fr-FR"/>
        </w:rPr>
        <w:t>______________________</w:t>
      </w:r>
      <w:r w:rsidRPr="00B541E1">
        <w:rPr>
          <w:rFonts w:ascii="Times New Roman" w:hAnsi="Times New Roman"/>
          <w:sz w:val="24"/>
          <w:szCs w:val="24"/>
          <w:lang w:val="fr-FR"/>
        </w:rPr>
        <w:t>____________ $ ou tout multiple de ce montant, et ce, sans indemnité.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E6. DÉCLARATIONS ADDITIONNELLES DE L’ACHETEUR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E6.1 L’ACHETEUR déclare avoir pris connaissance des contrats individuels de travail, des accréditations et des conventions collectives du personnel du VENDEUR, s’il y a lieu, et s’engage à les respecter aux termes des dispositions des lois régissant le droit du travail lors de l’aliénation ou de la concession totale ou partielle des entreprises.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E7. DÉCLARATIONS ADDITIONNELLES DU VENDEUR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E7.1 Le VENDEUR déclare de plus :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1° n’avoir connaissance d’aucune clause d’exclusivité qui pourrait porter atteinte à l’exploitation de l’ENTREPRISE;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2° que l’ENTREPRISE est exploitée conformément aux lois et règlements en vigueur;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3° que l’ENTREPRISE est exploitée conformément au bail du local où elle est située, le cas échéant;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4° que le nom de l’ENTREPRISE a été publié conformément à la loi 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5° n’avoir connaissance d’aucune convention collective régissant les relations de travail de l’ENTREPRISE, d’aucun syndicat y étant accrédité et d’aucune procédure en cours en vue de l’obtention d’une accréditation ou de la conclusion ou de l’exécution d’une convention collective ou en vue d’en assurer le respect;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6o qu’aucune réclamation pour laquelle l’ACHETEUR pourrait être conjointement et solidairement responsable avec lui en vertu de l’article 96 de la Loi sur les normes du travail (L.R.Q., c. N-1.1) n’existe ou ne pourrait exister à ce jour (une liste relatant l’ancienneté ainsi que les conditions d’emploi des employés doit être annexée à la présente);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7° que l’ENTREPRISE, incluant ses stocks de marchandise, ses appareils et ses équipements, est libre de tout emprunt, dette, obligation ou sûreté;</w:t>
      </w:r>
      <w:r w:rsidRPr="00B541E1">
        <w:rPr>
          <w:rFonts w:ascii="Times New Roman" w:hAnsi="Times New Roman"/>
          <w:sz w:val="24"/>
          <w:szCs w:val="24"/>
          <w:lang w:val="fr-FR"/>
        </w:rPr>
        <w:br/>
        <w:t>8o n’avoir connaissance d’aucune non-conformité aux lois et règlements relatifs à la protection de l’environnement relativement aux biens meubles, appareils et équipements servant à l’exploitation de l’ENTREPRISE, aux stocks de marchandises ainsi qu’à l’immeuble dans lequel l’ENTREPRISE est exploitée.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E7.2 Le VENDEUR s’engage, sous peine d’une indemnité de ____________ $ par jour de contravention, à ne pas exploiter, directement ou indirectement, dans un rayon de _________ km de l’ENTREPRISE, et ce, pour une période de ____________ année(s) à compter de la signature de l’acte de vente, une entreprise en concurrence avec l’ENTREPRISE.</w:t>
      </w:r>
    </w:p>
    <w:p w:rsid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</w:p>
    <w:p w:rsid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E7.3 Le VENDEUR s’engage à rendre l’ENTREPRISE disponible pour occupation et exploitation par l’ACHETEUR à compter du ______________________, et à la laisser libre de tout bien non inclus à la présente promesse d’achat, à défaut de quoi l’ACHETEUR pourra les faire enlever aux frais du VENDEUR.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u w:val="single"/>
          <w:lang w:val="fr-FR"/>
        </w:rPr>
        <w:t>E8. DÉCLARATIONS ET OBLIGATIONS ADDITIONNELLES COMMUNES À L’ACHETEUR ET AU VENDEUR</w:t>
      </w:r>
    </w:p>
    <w:p w:rsidR="00B541E1" w:rsidRPr="00B541E1" w:rsidRDefault="00B541E1" w:rsidP="00B541E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fr-FR"/>
        </w:rPr>
      </w:pPr>
      <w:r w:rsidRPr="00B541E1">
        <w:rPr>
          <w:rFonts w:ascii="Times New Roman" w:hAnsi="Times New Roman"/>
          <w:sz w:val="24"/>
          <w:szCs w:val="24"/>
          <w:lang w:val="fr-FR"/>
        </w:rPr>
        <w:t>E8.1 Aux répartitions prévues à la clause 11.2 de la promesse d’achat s’ajoutent, relativement à l’ENTREPRISE, celles relatives notamment aux taxes autres qu’aux taxes foncières, aux permis, aux primes d’assurance, aux réserves de combustible, aux revenus et dépenses afférents à l’ENTREPRISE, aux loyers, aux contrats de location d’appareils et d’équipements ainsi qu’à la valeur des marchandises, seront effectuées en date du _______________.</w:t>
      </w:r>
    </w:p>
    <w:p w:rsidR="00B331EC" w:rsidRPr="00541D2B" w:rsidRDefault="00B331EC" w:rsidP="00B541E1">
      <w:pPr>
        <w:pStyle w:val="NormalWeb"/>
        <w:rPr>
          <w:color w:val="000000" w:themeColor="text1"/>
          <w:lang w:val="fr-FR"/>
        </w:rPr>
      </w:pPr>
    </w:p>
    <w:sectPr w:rsidR="00B331EC" w:rsidRPr="00541D2B" w:rsidSect="00036EC3">
      <w:footerReference w:type="default" r:id="rId10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8A" w:rsidRDefault="00A5188A" w:rsidP="001502C6">
      <w:pPr>
        <w:spacing w:after="0" w:line="240" w:lineRule="auto"/>
      </w:pPr>
      <w:r>
        <w:separator/>
      </w:r>
    </w:p>
  </w:endnote>
  <w:endnote w:type="continuationSeparator" w:id="0">
    <w:p w:rsidR="00A5188A" w:rsidRDefault="00A5188A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C0" w:rsidRPr="00164C36" w:rsidRDefault="000644C0" w:rsidP="000644C0">
    <w:pPr>
      <w:spacing w:after="0" w:line="204" w:lineRule="exact"/>
      <w:ind w:left="20" w:right="-47"/>
      <w:jc w:val="center"/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</w:pP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LES IMMEUBLES CHARISMA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.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g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e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e 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6"/>
        <w:sz w:val="18"/>
        <w:szCs w:val="18"/>
        <w:lang w:val="fr-CA"/>
      </w:rPr>
      <w:t>mm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o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b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l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iè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r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e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4"/>
        <w:sz w:val="18"/>
        <w:szCs w:val="18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3310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100ième Avenue, Laval, Québec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H7T-0J7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T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é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l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514-360-3000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F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>A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X</w:t>
    </w:r>
    <w:r w:rsidRPr="00164C36">
      <w:rPr>
        <w:rFonts w:ascii="Times New Roman" w:eastAsia="Arial" w:hAnsi="Times New Roman"/>
        <w:color w:val="244061" w:themeColor="accent1" w:themeShade="80"/>
        <w:spacing w:val="-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514-360-3001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  </w:t>
    </w:r>
    <w:hyperlink r:id="rId1"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>i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-1"/>
          <w:sz w:val="20"/>
          <w:szCs w:val="20"/>
          <w:lang w:val="fr-CA"/>
        </w:rPr>
        <w:t>n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>f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-1"/>
          <w:sz w:val="20"/>
          <w:szCs w:val="20"/>
          <w:lang w:val="fr-CA"/>
        </w:rPr>
        <w:t>o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>@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-1"/>
          <w:sz w:val="20"/>
          <w:szCs w:val="20"/>
          <w:lang w:val="fr-CA"/>
        </w:rPr>
        <w:t xml:space="preserve">charisma.ca 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 xml:space="preserve"> 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29"/>
          <w:sz w:val="20"/>
          <w:szCs w:val="20"/>
          <w:lang w:val="fr-CA"/>
        </w:rPr>
        <w:t xml:space="preserve"> </w:t>
      </w:r>
    </w:hyperlink>
    <w:r w:rsidRPr="00164C36">
      <w:rPr>
        <w:rFonts w:ascii="Times New Roman" w:eastAsia="Times New Roman" w:hAnsi="Times New Roman"/>
        <w:color w:val="244061" w:themeColor="accent1" w:themeShade="80"/>
        <w:sz w:val="20"/>
        <w:szCs w:val="20"/>
        <w:lang w:val="fr-CA"/>
      </w:rPr>
      <w:t xml:space="preserve">- </w:t>
    </w:r>
    <w:r w:rsidRPr="00164C36">
      <w:rPr>
        <w:rFonts w:ascii="Times New Roman" w:eastAsia="Times New Roman" w:hAnsi="Times New Roman"/>
        <w:b/>
        <w:color w:val="244061" w:themeColor="accent1" w:themeShade="80"/>
        <w:sz w:val="20"/>
        <w:szCs w:val="20"/>
        <w:lang w:val="fr-CA"/>
      </w:rPr>
      <w:t>www.charisma.ca</w:t>
    </w:r>
  </w:p>
  <w:p w:rsidR="00A5188A" w:rsidRPr="000644C0" w:rsidRDefault="00A5188A" w:rsidP="000644C0">
    <w:pPr>
      <w:pStyle w:val="Footer"/>
      <w:rPr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8A" w:rsidRDefault="00A5188A" w:rsidP="001502C6">
      <w:pPr>
        <w:spacing w:after="0" w:line="240" w:lineRule="auto"/>
      </w:pPr>
      <w:r>
        <w:separator/>
      </w:r>
    </w:p>
  </w:footnote>
  <w:footnote w:type="continuationSeparator" w:id="0">
    <w:p w:rsidR="00A5188A" w:rsidRDefault="00A5188A" w:rsidP="0015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6EC3"/>
    <w:rsid w:val="000378D7"/>
    <w:rsid w:val="000644C0"/>
    <w:rsid w:val="00091F9A"/>
    <w:rsid w:val="000A561B"/>
    <w:rsid w:val="000A5C99"/>
    <w:rsid w:val="000F05B8"/>
    <w:rsid w:val="001502C6"/>
    <w:rsid w:val="00160AEB"/>
    <w:rsid w:val="001B6E26"/>
    <w:rsid w:val="001F0B50"/>
    <w:rsid w:val="002359EA"/>
    <w:rsid w:val="0023759C"/>
    <w:rsid w:val="00274EB3"/>
    <w:rsid w:val="00353D90"/>
    <w:rsid w:val="00354105"/>
    <w:rsid w:val="0036689E"/>
    <w:rsid w:val="00397C5A"/>
    <w:rsid w:val="00403A80"/>
    <w:rsid w:val="0042119B"/>
    <w:rsid w:val="0045076A"/>
    <w:rsid w:val="004626F4"/>
    <w:rsid w:val="004E0149"/>
    <w:rsid w:val="00507263"/>
    <w:rsid w:val="00541D2B"/>
    <w:rsid w:val="006611EE"/>
    <w:rsid w:val="006B1A7B"/>
    <w:rsid w:val="006E663A"/>
    <w:rsid w:val="0079554E"/>
    <w:rsid w:val="007C68C1"/>
    <w:rsid w:val="008137A9"/>
    <w:rsid w:val="00871155"/>
    <w:rsid w:val="008C51B0"/>
    <w:rsid w:val="00992EA6"/>
    <w:rsid w:val="009C268F"/>
    <w:rsid w:val="009E70DD"/>
    <w:rsid w:val="00A5188A"/>
    <w:rsid w:val="00A73FE0"/>
    <w:rsid w:val="00AA6B8C"/>
    <w:rsid w:val="00B331EC"/>
    <w:rsid w:val="00B477FD"/>
    <w:rsid w:val="00B5078E"/>
    <w:rsid w:val="00B541E1"/>
    <w:rsid w:val="00C94123"/>
    <w:rsid w:val="00CA52D8"/>
    <w:rsid w:val="00CC7A96"/>
    <w:rsid w:val="00CF4E0F"/>
    <w:rsid w:val="00D24B27"/>
    <w:rsid w:val="00E00B7D"/>
    <w:rsid w:val="00E128FA"/>
    <w:rsid w:val="00E208E0"/>
    <w:rsid w:val="00E336B9"/>
    <w:rsid w:val="00E44985"/>
    <w:rsid w:val="00E63098"/>
    <w:rsid w:val="00EF405F"/>
    <w:rsid w:val="00F00F59"/>
    <w:rsid w:val="00F3551E"/>
    <w:rsid w:val="00F83BCE"/>
    <w:rsid w:val="00F9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2.gif@01CD6A81.7CEEC2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yaldemontre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F17-DA2F-4CED-AF8D-E9DC184A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3</cp:revision>
  <cp:lastPrinted>2011-11-21T20:53:00Z</cp:lastPrinted>
  <dcterms:created xsi:type="dcterms:W3CDTF">2017-07-11T17:03:00Z</dcterms:created>
  <dcterms:modified xsi:type="dcterms:W3CDTF">2017-07-11T17:21:00Z</dcterms:modified>
</cp:coreProperties>
</file>