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5" w:rsidRDefault="0079227B" w:rsidP="00036EC3">
      <w:pPr>
        <w:jc w:val="center"/>
        <w:rPr>
          <w:rFonts w:ascii="Courier New" w:hAnsi="Courier New" w:cs="FrankRuehl"/>
          <w:color w:val="244061"/>
          <w:lang w:val="fr-CA"/>
        </w:rPr>
      </w:pPr>
      <w:r w:rsidRPr="0079227B">
        <w:rPr>
          <w:rFonts w:ascii="Courier New" w:hAnsi="Courier New" w:cs="FrankRuehl"/>
          <w:noProof/>
          <w:color w:val="244061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-325120</wp:posOffset>
            </wp:positionV>
            <wp:extent cx="3086100" cy="752475"/>
            <wp:effectExtent l="19050" t="0" r="0" b="0"/>
            <wp:wrapNone/>
            <wp:docPr id="3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27B" w:rsidRDefault="0079227B" w:rsidP="006B1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30"/>
          <w:szCs w:val="30"/>
          <w:lang w:val="fr-FR"/>
        </w:rPr>
      </w:pPr>
    </w:p>
    <w:p w:rsidR="0079227B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30"/>
          <w:szCs w:val="30"/>
          <w:lang w:val="fr-FR"/>
        </w:rPr>
      </w:pPr>
      <w:r w:rsidRPr="00B331EC">
        <w:rPr>
          <w:rStyle w:val="Strong"/>
          <w:rFonts w:ascii="Times New Roman" w:hAnsi="Times New Roman"/>
          <w:sz w:val="30"/>
          <w:szCs w:val="30"/>
          <w:lang w:val="fr-FR"/>
        </w:rPr>
        <w:t xml:space="preserve">Vente </w:t>
      </w:r>
      <w:r w:rsidR="00541D2B">
        <w:rPr>
          <w:rStyle w:val="Strong"/>
          <w:rFonts w:ascii="Times New Roman" w:hAnsi="Times New Roman"/>
          <w:sz w:val="30"/>
          <w:szCs w:val="30"/>
          <w:lang w:val="fr-FR"/>
        </w:rPr>
        <w:t>d’entreprise avec immeuble</w:t>
      </w:r>
    </w:p>
    <w:p w:rsidR="00201051" w:rsidRPr="00201051" w:rsidRDefault="00E208E0" w:rsidP="00201051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fr-CA"/>
        </w:rPr>
      </w:pPr>
      <w:r w:rsidRPr="00B331EC">
        <w:rPr>
          <w:rFonts w:ascii="Times New Roman" w:eastAsia="Times New Roman" w:hAnsi="Times New Roman"/>
          <w:color w:val="000000"/>
          <w:sz w:val="24"/>
          <w:szCs w:val="24"/>
          <w:lang w:val="fr-CA"/>
        </w:rPr>
        <w:br/>
      </w:r>
      <w:r w:rsidR="00B331EC" w:rsidRPr="00B331EC">
        <w:rPr>
          <w:rFonts w:ascii="Times New Roman" w:hAnsi="Times New Roman"/>
          <w:color w:val="000000"/>
          <w:sz w:val="24"/>
          <w:szCs w:val="24"/>
          <w:lang w:val="fr-CA"/>
        </w:rPr>
        <w:t xml:space="preserve">ANNEXE </w:t>
      </w:r>
      <w:r w:rsidR="00541D2B">
        <w:rPr>
          <w:rFonts w:ascii="Times New Roman" w:hAnsi="Times New Roman"/>
          <w:color w:val="000000"/>
          <w:sz w:val="24"/>
          <w:szCs w:val="24"/>
          <w:lang w:val="fr-CA"/>
        </w:rPr>
        <w:t>AU CONTRAT DE COURTAGE</w:t>
      </w:r>
      <w:r w:rsidR="00B331EC" w:rsidRPr="00B331EC">
        <w:rPr>
          <w:rFonts w:ascii="Times New Roman" w:hAnsi="Times New Roman"/>
          <w:color w:val="000000"/>
          <w:sz w:val="24"/>
          <w:szCs w:val="24"/>
          <w:lang w:val="fr-CA"/>
        </w:rPr>
        <w:t xml:space="preserve"> N*_____________________</w:t>
      </w:r>
      <w:bookmarkStart w:id="0" w:name="7_2"/>
      <w:bookmarkStart w:id="1" w:name="7_3"/>
      <w:bookmarkStart w:id="2" w:name="7_4"/>
      <w:bookmarkEnd w:id="0"/>
      <w:bookmarkEnd w:id="1"/>
      <w:bookmarkEnd w:id="2"/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rStyle w:val="Strong"/>
          <w:lang w:val="fr-FR"/>
        </w:rPr>
        <w:t xml:space="preserve">Ajout à la clause 7.4 </w:t>
      </w:r>
    </w:p>
    <w:p w:rsidR="00541D2B" w:rsidRPr="00541D2B" w:rsidRDefault="00541D2B" w:rsidP="00541D2B">
      <w:pPr>
        <w:pStyle w:val="NormalWeb"/>
        <w:rPr>
          <w:lang w:val="fr-FR"/>
        </w:rPr>
      </w:pPr>
      <w:bookmarkStart w:id="3" w:name="7_4a"/>
      <w:bookmarkEnd w:id="3"/>
      <w:r w:rsidRPr="00541D2B">
        <w:rPr>
          <w:u w:val="single"/>
          <w:lang w:val="fr-FR"/>
        </w:rPr>
        <w:t>E1. VENTE D’UNE ENTREPRISE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E1.1 L’IMMEUBLE est un bien de l’ENTREPRISE décrite ci-après qui est également offerte en vente aux termes du présent contrat.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E1.2 Le prix mentionné à la clause 4.1 du contrat de courtage inclut l’ensemble des biens de l’ENTREPRISE mentionnés ci-après.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E1.3 Sauf indication contraire ou incompatibilité, les dispositions du contrat de courtage s’appliquent à la vente de l’ENTREPRISE et le terme « IMMEUBLE » doit être interprété comme visant l’IMMEUBLE et l’ENTREPRISE.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E1.4 Toute promesse d’achat devra portée à la fois sur l’IMMEUBLE et sur l’ENTREPRISE.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u w:val="single"/>
          <w:lang w:val="fr-FR"/>
        </w:rPr>
        <w:t>E2. DESCRIPTION SOMMAIRE DE L’ENTREPRISE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E2.1 L’entreprise est connue et exploitée sous le nom de : ___________________________________________</w:t>
      </w:r>
      <w:r>
        <w:rPr>
          <w:lang w:val="fr-FR"/>
        </w:rPr>
        <w:t>_____________</w:t>
      </w:r>
      <w:r w:rsidRPr="00541D2B">
        <w:rPr>
          <w:lang w:val="fr-FR"/>
        </w:rPr>
        <w:t>__ et est située à l’adresse suivante : _____________________________________________</w:t>
      </w:r>
      <w:r>
        <w:rPr>
          <w:lang w:val="fr-FR"/>
        </w:rPr>
        <w:t>_________________________</w:t>
      </w:r>
      <w:r w:rsidRPr="00541D2B">
        <w:rPr>
          <w:lang w:val="fr-FR"/>
        </w:rPr>
        <w:t>_______________.</w:t>
      </w:r>
      <w:r w:rsidRPr="00541D2B">
        <w:rPr>
          <w:lang w:val="fr-FR"/>
        </w:rPr>
        <w:br/>
        <w:t>(ci-après appelée l’ENTREPRISE)</w:t>
      </w:r>
    </w:p>
    <w:p w:rsidR="0079227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E2.2 Dans le cas d’une entreprise exploitée dans un immeuble comportant bail, le loyer mensuel est de : ________________________________________________________________________et le bail vient à échéance le ___________________________________________________. Aucun avis susceptible de modifier le bail n’a été envoyé par l’une ou l’autre des parties et aucune instance n’est en cours.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E2.3 Le bail a été publié au registre foncier.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u w:val="single"/>
          <w:lang w:val="fr-FR"/>
        </w:rPr>
        <w:t>E3. DETAIL DU PRIX DE VENTE ET CONDITIONS DE VENTE ADDITIONNELLES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E3.1 Le prix de vente mentionné à la clause 4.1 du contrat de courtage est réparti comme suit :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1° l’IMMEUBLE décrit à la clause 3.1 du contrat de courtage évalué à __</w:t>
      </w:r>
      <w:r>
        <w:rPr>
          <w:lang w:val="fr-FR"/>
        </w:rPr>
        <w:t>______________</w:t>
      </w:r>
      <w:r w:rsidRPr="00541D2B">
        <w:rPr>
          <w:lang w:val="fr-FR"/>
        </w:rPr>
        <w:t>______________ $</w:t>
      </w:r>
      <w:r w:rsidRPr="00541D2B">
        <w:rPr>
          <w:lang w:val="fr-FR"/>
        </w:rPr>
        <w:br/>
        <w:t>2° le nom et l’achalandage évalués à : _________</w:t>
      </w:r>
      <w:r>
        <w:rPr>
          <w:lang w:val="fr-FR"/>
        </w:rPr>
        <w:t>________________________________________</w:t>
      </w:r>
      <w:r w:rsidRPr="00541D2B">
        <w:rPr>
          <w:lang w:val="fr-FR"/>
        </w:rPr>
        <w:t>_______ $</w:t>
      </w:r>
      <w:r w:rsidRPr="00541D2B">
        <w:rPr>
          <w:lang w:val="fr-FR"/>
        </w:rPr>
        <w:br/>
        <w:t>3° tous les biens meubles, appareils et équip</w:t>
      </w:r>
      <w:r w:rsidR="0079227B">
        <w:rPr>
          <w:lang w:val="fr-FR"/>
        </w:rPr>
        <w:t xml:space="preserve">ements servant à l’exploitation </w:t>
      </w:r>
      <w:r w:rsidRPr="00541D2B">
        <w:rPr>
          <w:lang w:val="fr-FR"/>
        </w:rPr>
        <w:t>de l’ENTREPRISE, lesquels sont évalués à : ___________</w:t>
      </w:r>
      <w:r>
        <w:rPr>
          <w:lang w:val="fr-FR"/>
        </w:rPr>
        <w:t>___________________________________</w:t>
      </w:r>
      <w:r w:rsidRPr="00541D2B">
        <w:rPr>
          <w:lang w:val="fr-FR"/>
        </w:rPr>
        <w:t>_____ $</w:t>
      </w:r>
      <w:r w:rsidRPr="00541D2B">
        <w:rPr>
          <w:lang w:val="fr-FR"/>
        </w:rPr>
        <w:br/>
        <w:t>4° tous les stocks de marchandise sont évalués approximativement à : _</w:t>
      </w:r>
      <w:r>
        <w:rPr>
          <w:lang w:val="fr-FR"/>
        </w:rPr>
        <w:t>_______________</w:t>
      </w:r>
      <w:r w:rsidRPr="00541D2B">
        <w:rPr>
          <w:lang w:val="fr-FR"/>
        </w:rPr>
        <w:t>_______________ $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La valeur de ces stocks est calculée à __________________ % du coût payé pour chaque marchandise et la valeur définitive sera établie lors de l’inventaire pris conjointement par les parties préalablement à la signature de l’acte de vente.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lastRenderedPageBreak/>
        <w:t>E3.2 Emprunt, dette, obligation ou sûreté existants sur l’entreprise, excluant l’immeuble mais incluant ses stocks de marchandise, ses appareils et ses équipements :</w:t>
      </w:r>
      <w:r w:rsidRPr="00541D2B">
        <w:rPr>
          <w:lang w:val="fr-FR"/>
        </w:rPr>
        <w:br/>
        <w:t>__________________________________________</w:t>
      </w:r>
      <w:r>
        <w:rPr>
          <w:lang w:val="fr-FR"/>
        </w:rPr>
        <w:t>_________________</w:t>
      </w:r>
      <w:r w:rsidRPr="00541D2B">
        <w:rPr>
          <w:lang w:val="fr-FR"/>
        </w:rPr>
        <w:t>______________________________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__________________________________________</w:t>
      </w:r>
      <w:r>
        <w:rPr>
          <w:lang w:val="fr-FR"/>
        </w:rPr>
        <w:t>_________________</w:t>
      </w:r>
      <w:r w:rsidRPr="00541D2B">
        <w:rPr>
          <w:lang w:val="fr-FR"/>
        </w:rPr>
        <w:t>______________________________</w:t>
      </w:r>
      <w:r w:rsidRPr="00541D2B">
        <w:rPr>
          <w:lang w:val="fr-FR"/>
        </w:rPr>
        <w:br/>
        <w:t>Les frais reliés au remboursement de toute dette ainsi qu’à la radiation de toute hypothèque seront à la charge du VENDEUR.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E3.3 Sont inclus dans la vente, le cas échéant :</w:t>
      </w:r>
      <w:r w:rsidRPr="00541D2B">
        <w:rPr>
          <w:lang w:val="fr-FR"/>
        </w:rPr>
        <w:br/>
        <w:t>1° le nom; 2° l’achalandage; 3° tous les droits et privilèges reliés à l’identification de l’ENTREPRISE (numéros de téléphone, enseignes, publicités, marques de commerce, etc.); 4° l’immeuble; 5° tous les biens meubles, appareils et équipements servant à l’exploitation de l’ENTREPRISE.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E3.4 Sont exclus de la vente, le cas échéant :</w:t>
      </w:r>
      <w:r w:rsidRPr="00541D2B">
        <w:rPr>
          <w:lang w:val="fr-FR"/>
        </w:rPr>
        <w:br/>
        <w:t>1° les comptes clients; 2° les comptes fournisseurs; 3° les comptes bancaires; 4° les biens meubles et stocks de marchandise en consignation (voir liste ¬annexée).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E3.5 Date ou délai de prise en charge de l’exploitation : _________________________________________</w:t>
      </w:r>
      <w:r>
        <w:rPr>
          <w:lang w:val="fr-FR"/>
        </w:rPr>
        <w:t>________________________________________</w:t>
      </w:r>
      <w:r w:rsidRPr="00541D2B">
        <w:rPr>
          <w:lang w:val="fr-FR"/>
        </w:rPr>
        <w:t>______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u w:val="single"/>
          <w:lang w:val="fr-FR"/>
        </w:rPr>
        <w:t>E4. DECLARATIONS ADDITIONNELLES DU VENDEUR</w:t>
      </w:r>
    </w:p>
    <w:p w:rsidR="00201051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E4.1 Le VENDEUR déclare de plus :</w:t>
      </w:r>
      <w:r w:rsidRPr="00541D2B">
        <w:rPr>
          <w:lang w:val="fr-FR"/>
        </w:rPr>
        <w:br/>
        <w:t>1° n’avoir connaissance d’aucune clause d’exclusivité qui pourrait porter atteinte à l’exploitation de l’ENTREPRISE;</w:t>
      </w:r>
      <w:r w:rsidRPr="00541D2B">
        <w:rPr>
          <w:lang w:val="fr-FR"/>
        </w:rPr>
        <w:br/>
        <w:t>2° que l’ENTREPRISE est exploitée conformément aux lois et règlements en vigueur;</w:t>
      </w:r>
      <w:r w:rsidRPr="00541D2B">
        <w:rPr>
          <w:lang w:val="fr-FR"/>
        </w:rPr>
        <w:br/>
        <w:t>3° que l’ENTREPRISE est exploitée conformément au bail du local où elle est située, le cas échéant;</w:t>
      </w:r>
      <w:r w:rsidRPr="00541D2B">
        <w:rPr>
          <w:lang w:val="fr-FR"/>
        </w:rPr>
        <w:br/>
        <w:t>4° que le nom de l’ENTREPRISE a été publié conformément à la loi;</w:t>
      </w:r>
      <w:r w:rsidRPr="00541D2B">
        <w:rPr>
          <w:lang w:val="fr-FR"/>
        </w:rPr>
        <w:br/>
        <w:t>5° n’avoir connaissance d’aucune convention collective régissant les relations de travail de l’ENTREPRISE, d’aucun syndicat y étant accrédité et d’aucune procédure en cours en vue de l’obtention d’une accréditation ou de la conclusion ou de l’exécution d’une convention collective ou en vue d’en assurer le respect;</w:t>
      </w:r>
      <w:r w:rsidRPr="00541D2B">
        <w:rPr>
          <w:lang w:val="fr-FR"/>
        </w:rPr>
        <w:br/>
        <w:t>6° n’avoir connaissance d’aucune non-conformité aux lois et règlements relatifs à la protection de l’environnement relativement aux biens meubles, appareils et équipements servant à l’exploitation de l’ENTREPRISE, aux stocks de marchandises ainsi qu’à l’immeuble dans lequel l’ENTREPRISE est exploitée.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u w:val="single"/>
          <w:lang w:val="fr-FR"/>
        </w:rPr>
        <w:t>E5. OBLIGATIONS ADDITIONNELLES DU VENDEUR 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E5.1 En sus de ce qui est prévu à la clause 8.2 du contrat de courtage, Le VENDEUR fournira à l’AGENCE ou au COURTIER, sur demande de ce dernier, les documents suivants relatifs à l’ENTREPRISE qui sont en sa possession : documents relatifs aux emprunts et sûretés, convention collective, inventaire des biens meubles, contrat de franchise, permis, liste des créanciers, documents concernant le fonc</w:t>
      </w:r>
      <w:r w:rsidR="0079227B">
        <w:rPr>
          <w:lang w:val="fr-FR"/>
        </w:rPr>
        <w:t xml:space="preserve">tionnement et la rentabilité de </w:t>
      </w:r>
      <w:r w:rsidRPr="00541D2B">
        <w:rPr>
          <w:lang w:val="fr-FR"/>
        </w:rPr>
        <w:t>l’ENTREPRISE, déclaration d’immatriculation et, de façon générale, tous les documents concernant l’ENTREPRISE.</w:t>
      </w:r>
    </w:p>
    <w:p w:rsidR="00541D2B" w:rsidRPr="00541D2B" w:rsidRDefault="00541D2B" w:rsidP="00541D2B">
      <w:pPr>
        <w:pStyle w:val="NormalWeb"/>
        <w:rPr>
          <w:lang w:val="fr-FR"/>
        </w:rPr>
      </w:pPr>
      <w:r w:rsidRPr="00541D2B">
        <w:rPr>
          <w:lang w:val="fr-FR"/>
        </w:rPr>
        <w:t>En sus de ce qui est prévu à la clause 8.4 du contrat de courtage, le VENDEUR fournira à l’acheteur, sur demande de ce dernier, les documents énumérés ci-haut qu’il a en sa possession.</w:t>
      </w:r>
    </w:p>
    <w:p w:rsidR="00B331EC" w:rsidRPr="00201051" w:rsidRDefault="00541D2B" w:rsidP="00201051">
      <w:pPr>
        <w:pStyle w:val="NormalWeb"/>
        <w:rPr>
          <w:lang w:val="fr-FR"/>
        </w:rPr>
      </w:pPr>
      <w:r w:rsidRPr="00541D2B">
        <w:rPr>
          <w:lang w:val="fr-FR"/>
        </w:rPr>
        <w:t>E5.2 Le VENDEUR accorde en exclusivité à l’AGENCE ou au COURTIER le droit d’obtenir du propriétaire de l’immeuble où l’ENTREPRISE est exploitée, tous renseignements et documents afférents à l’immeuble.</w:t>
      </w:r>
    </w:p>
    <w:sectPr w:rsidR="00B331EC" w:rsidRPr="00201051" w:rsidSect="00036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8A" w:rsidRDefault="00A5188A" w:rsidP="001502C6">
      <w:pPr>
        <w:spacing w:after="0" w:line="240" w:lineRule="auto"/>
      </w:pPr>
      <w:r>
        <w:separator/>
      </w:r>
    </w:p>
  </w:endnote>
  <w:endnote w:type="continuationSeparator" w:id="0">
    <w:p w:rsidR="00A5188A" w:rsidRDefault="00A5188A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Default="00792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Pr="00164C36" w:rsidRDefault="0079227B" w:rsidP="0079227B">
    <w:pPr>
      <w:spacing w:after="0" w:line="204" w:lineRule="exact"/>
      <w:ind w:left="20" w:right="-47"/>
      <w:jc w:val="center"/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</w:pP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LES IMMEUBLES CHARISMA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.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g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e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e 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6"/>
        <w:sz w:val="18"/>
        <w:szCs w:val="18"/>
        <w:lang w:val="fr-CA"/>
      </w:rPr>
      <w:t>mm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b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l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iè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r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e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4"/>
        <w:sz w:val="18"/>
        <w:szCs w:val="18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3310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100ième Avenue, Laval, Québec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H7T-0J7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T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é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l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514-360-3000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F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>A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X</w:t>
    </w:r>
    <w:r w:rsidRPr="00164C36">
      <w:rPr>
        <w:rFonts w:ascii="Times New Roman" w:eastAsia="Arial" w:hAnsi="Times New Roman"/>
        <w:color w:val="244061" w:themeColor="accent1" w:themeShade="80"/>
        <w:spacing w:val="-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514-360-3001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  </w:t>
    </w:r>
    <w:r w:rsidR="00F42F8E">
      <w:fldChar w:fldCharType="begin"/>
    </w:r>
    <w:r w:rsidR="00F42F8E" w:rsidRPr="00201051">
      <w:rPr>
        <w:lang w:val="fr-CA"/>
      </w:rPr>
      <w:instrText>HYPERLINK "mailto:info@royaldemontreal.com" \h</w:instrText>
    </w:r>
    <w:r w:rsidR="00F42F8E">
      <w:fldChar w:fldCharType="separate"/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f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@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 xml:space="preserve">charisma.ca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29"/>
        <w:sz w:val="20"/>
        <w:szCs w:val="20"/>
        <w:lang w:val="fr-CA"/>
      </w:rPr>
      <w:t xml:space="preserve"> </w:t>
    </w:r>
    <w:r w:rsidR="00F42F8E">
      <w:fldChar w:fldCharType="end"/>
    </w:r>
    <w:r w:rsidRPr="00164C36">
      <w:rPr>
        <w:rFonts w:ascii="Times New Roman" w:eastAsia="Times New Roman" w:hAnsi="Times New Roman"/>
        <w:color w:val="244061" w:themeColor="accent1" w:themeShade="80"/>
        <w:sz w:val="20"/>
        <w:szCs w:val="20"/>
        <w:lang w:val="fr-CA"/>
      </w:rPr>
      <w:t xml:space="preserve">- </w:t>
    </w:r>
    <w:r w:rsidRPr="00164C36">
      <w:rPr>
        <w:rFonts w:ascii="Times New Roman" w:eastAsia="Times New Roman" w:hAnsi="Times New Roman"/>
        <w:b/>
        <w:color w:val="244061" w:themeColor="accent1" w:themeShade="80"/>
        <w:sz w:val="20"/>
        <w:szCs w:val="20"/>
        <w:lang w:val="fr-CA"/>
      </w:rPr>
      <w:t>www.charisma.ca</w:t>
    </w:r>
  </w:p>
  <w:p w:rsidR="00A5188A" w:rsidRPr="0079227B" w:rsidRDefault="00A5188A" w:rsidP="0079227B">
    <w:pPr>
      <w:pStyle w:val="Footer"/>
      <w:rPr>
        <w:szCs w:val="18"/>
        <w:lang w:val="fr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Default="00792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8A" w:rsidRDefault="00A5188A" w:rsidP="001502C6">
      <w:pPr>
        <w:spacing w:after="0" w:line="240" w:lineRule="auto"/>
      </w:pPr>
      <w:r>
        <w:separator/>
      </w:r>
    </w:p>
  </w:footnote>
  <w:footnote w:type="continuationSeparator" w:id="0">
    <w:p w:rsidR="00A5188A" w:rsidRDefault="00A5188A" w:rsidP="0015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Default="007922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Default="007922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B" w:rsidRDefault="00792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91F9A"/>
    <w:rsid w:val="000A561B"/>
    <w:rsid w:val="000A5C99"/>
    <w:rsid w:val="000F05B8"/>
    <w:rsid w:val="001502C6"/>
    <w:rsid w:val="00160AEB"/>
    <w:rsid w:val="001F0B50"/>
    <w:rsid w:val="00201051"/>
    <w:rsid w:val="002359EA"/>
    <w:rsid w:val="0023759C"/>
    <w:rsid w:val="00274EB3"/>
    <w:rsid w:val="00332BC1"/>
    <w:rsid w:val="00353D90"/>
    <w:rsid w:val="00354105"/>
    <w:rsid w:val="0036689E"/>
    <w:rsid w:val="00397C5A"/>
    <w:rsid w:val="00403A80"/>
    <w:rsid w:val="0042119B"/>
    <w:rsid w:val="0045076A"/>
    <w:rsid w:val="004626F4"/>
    <w:rsid w:val="004E0149"/>
    <w:rsid w:val="00507263"/>
    <w:rsid w:val="00541D2B"/>
    <w:rsid w:val="00577939"/>
    <w:rsid w:val="006611EE"/>
    <w:rsid w:val="006B1A7B"/>
    <w:rsid w:val="006E663A"/>
    <w:rsid w:val="0079227B"/>
    <w:rsid w:val="0079554E"/>
    <w:rsid w:val="007C68C1"/>
    <w:rsid w:val="008137A9"/>
    <w:rsid w:val="0086530B"/>
    <w:rsid w:val="00871155"/>
    <w:rsid w:val="008C51B0"/>
    <w:rsid w:val="00905FC3"/>
    <w:rsid w:val="00992EA6"/>
    <w:rsid w:val="009C268F"/>
    <w:rsid w:val="009E70DD"/>
    <w:rsid w:val="00A5188A"/>
    <w:rsid w:val="00A73FE0"/>
    <w:rsid w:val="00AA6B8C"/>
    <w:rsid w:val="00B331EC"/>
    <w:rsid w:val="00B477FD"/>
    <w:rsid w:val="00B5078E"/>
    <w:rsid w:val="00C94123"/>
    <w:rsid w:val="00CA52D8"/>
    <w:rsid w:val="00CC7A96"/>
    <w:rsid w:val="00CF4E0F"/>
    <w:rsid w:val="00D24B27"/>
    <w:rsid w:val="00E00B7D"/>
    <w:rsid w:val="00E128FA"/>
    <w:rsid w:val="00E208E0"/>
    <w:rsid w:val="00E336B9"/>
    <w:rsid w:val="00E44985"/>
    <w:rsid w:val="00E63098"/>
    <w:rsid w:val="00EF405F"/>
    <w:rsid w:val="00F00F59"/>
    <w:rsid w:val="00F3551E"/>
    <w:rsid w:val="00F42F8E"/>
    <w:rsid w:val="00F83BCE"/>
    <w:rsid w:val="00F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F6FE-7EA6-48E6-8048-BE0845A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2011-11-21T20:53:00Z</cp:lastPrinted>
  <dcterms:created xsi:type="dcterms:W3CDTF">2017-07-11T17:01:00Z</dcterms:created>
  <dcterms:modified xsi:type="dcterms:W3CDTF">2017-07-11T17:21:00Z</dcterms:modified>
</cp:coreProperties>
</file>